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5B" w:rsidRPr="006D4D6A" w:rsidRDefault="00412D5B" w:rsidP="00412D5B">
      <w:pPr>
        <w:shd w:val="clear" w:color="auto" w:fill="FFFFFF"/>
        <w:spacing w:after="0" w:line="336" w:lineRule="atLeast"/>
        <w:jc w:val="both"/>
        <w:textAlignment w:val="baseline"/>
        <w:rPr>
          <w:rFonts w:ascii="Helvetica" w:eastAsia="Times New Roman" w:hAnsi="Helvetica" w:cs="Helvetica"/>
          <w:b/>
          <w:color w:val="000000"/>
          <w:sz w:val="28"/>
          <w:szCs w:val="24"/>
          <w:lang w:eastAsia="nl-NL"/>
        </w:rPr>
      </w:pPr>
      <w:r w:rsidRPr="006D4D6A">
        <w:rPr>
          <w:rFonts w:ascii="Helvetica" w:eastAsia="Times New Roman" w:hAnsi="Helvetica" w:cs="Helvetica"/>
          <w:b/>
          <w:color w:val="000000"/>
          <w:sz w:val="28"/>
          <w:szCs w:val="24"/>
          <w:lang w:eastAsia="nl-NL"/>
        </w:rPr>
        <w:t>Aanpassing van de adviezen voor controle bij PMS2 pathogene variant</w:t>
      </w:r>
      <w:bookmarkStart w:id="0" w:name="_GoBack"/>
      <w:bookmarkEnd w:id="0"/>
    </w:p>
    <w:p w:rsidR="00412D5B" w:rsidRPr="006D4D6A" w:rsidRDefault="00412D5B" w:rsidP="00412D5B">
      <w:pPr>
        <w:shd w:val="clear" w:color="auto" w:fill="FFFFFF"/>
        <w:spacing w:after="0" w:line="336" w:lineRule="atLeast"/>
        <w:jc w:val="both"/>
        <w:textAlignment w:val="baseline"/>
        <w:rPr>
          <w:rFonts w:ascii="Helvetica" w:eastAsia="Times New Roman" w:hAnsi="Helvetica" w:cs="Helvetica"/>
          <w:b/>
          <w:color w:val="000000"/>
          <w:sz w:val="28"/>
          <w:szCs w:val="24"/>
          <w:lang w:eastAsia="nl-NL"/>
        </w:rPr>
      </w:pPr>
    </w:p>
    <w:p w:rsid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30 november 2022</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Vanwege het lage risico op colorectaal carcinoom (CRC) en de latere leeftijd waarop CRC ontstaat bij mensen met een kiembaan (erfelijke) PMS2 pathogene variant (PV= ziekte veroorzakende verandering of mutatie) wordt de startleeftijd voor surveillance </w:t>
      </w:r>
      <w:proofErr w:type="spellStart"/>
      <w:r w:rsidRPr="00412D5B">
        <w:rPr>
          <w:rFonts w:ascii="Helvetica" w:eastAsia="Times New Roman" w:hAnsi="Helvetica" w:cs="Helvetica"/>
          <w:color w:val="000000"/>
          <w:sz w:val="24"/>
          <w:szCs w:val="24"/>
          <w:lang w:eastAsia="nl-NL"/>
        </w:rPr>
        <w:t>coloscopieën</w:t>
      </w:r>
      <w:proofErr w:type="spellEnd"/>
      <w:r w:rsidRPr="00412D5B">
        <w:rPr>
          <w:rFonts w:ascii="Helvetica" w:eastAsia="Times New Roman" w:hAnsi="Helvetica" w:cs="Helvetica"/>
          <w:color w:val="000000"/>
          <w:sz w:val="24"/>
          <w:szCs w:val="24"/>
          <w:lang w:eastAsia="nl-NL"/>
        </w:rPr>
        <w:t xml:space="preserve"> verhoogd van 25 jaar naar 35 jaar. Dit advies loopt vooruit op de herziening van de huidige Nederlandse richtlijn Erfelijk Darmkanker welke in 2024 wordt verwacht.</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inherit" w:eastAsia="Times New Roman" w:hAnsi="inherit" w:cs="Helvetica"/>
          <w:b/>
          <w:bCs/>
          <w:color w:val="1D4F91"/>
          <w:sz w:val="24"/>
          <w:szCs w:val="24"/>
          <w:bdr w:val="none" w:sz="0" w:space="0" w:color="auto" w:frame="1"/>
          <w:lang w:eastAsia="nl-NL"/>
        </w:rPr>
        <w:t>Achtergrond informatie</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Lynch syndroom wordt veroorzaakt door kiembaan pathogene variant (PV) in één van de mismatch </w:t>
      </w:r>
      <w:proofErr w:type="spellStart"/>
      <w:r w:rsidRPr="00412D5B">
        <w:rPr>
          <w:rFonts w:ascii="Helvetica" w:eastAsia="Times New Roman" w:hAnsi="Helvetica" w:cs="Helvetica"/>
          <w:color w:val="000000"/>
          <w:sz w:val="24"/>
          <w:szCs w:val="24"/>
          <w:lang w:eastAsia="nl-NL"/>
        </w:rPr>
        <w:t>repair</w:t>
      </w:r>
      <w:proofErr w:type="spellEnd"/>
      <w:r w:rsidRPr="00412D5B">
        <w:rPr>
          <w:rFonts w:ascii="Helvetica" w:eastAsia="Times New Roman" w:hAnsi="Helvetica" w:cs="Helvetica"/>
          <w:color w:val="000000"/>
          <w:sz w:val="24"/>
          <w:szCs w:val="24"/>
          <w:lang w:eastAsia="nl-NL"/>
        </w:rPr>
        <w:t xml:space="preserve"> (MMR)genen, </w:t>
      </w:r>
      <w:r w:rsidRPr="00412D5B">
        <w:rPr>
          <w:rFonts w:ascii="inherit" w:eastAsia="Times New Roman" w:hAnsi="inherit" w:cs="Helvetica"/>
          <w:i/>
          <w:iCs/>
          <w:color w:val="000000"/>
          <w:sz w:val="24"/>
          <w:szCs w:val="24"/>
          <w:bdr w:val="none" w:sz="0" w:space="0" w:color="auto" w:frame="1"/>
          <w:lang w:eastAsia="nl-NL"/>
        </w:rPr>
        <w:t>MLH1, MSH2/EPCAM, MSH6</w:t>
      </w:r>
      <w:r w:rsidRPr="00412D5B">
        <w:rPr>
          <w:rFonts w:ascii="Helvetica" w:eastAsia="Times New Roman" w:hAnsi="Helvetica" w:cs="Helvetica"/>
          <w:color w:val="000000"/>
          <w:sz w:val="24"/>
          <w:szCs w:val="24"/>
          <w:lang w:eastAsia="nl-NL"/>
        </w:rPr>
        <w:t> of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Het geschat dragerschap in de bevolking voor </w:t>
      </w:r>
      <w:r w:rsidRPr="00412D5B">
        <w:rPr>
          <w:rFonts w:ascii="inherit" w:eastAsia="Times New Roman" w:hAnsi="inherit" w:cs="Helvetica"/>
          <w:i/>
          <w:iCs/>
          <w:color w:val="000000"/>
          <w:sz w:val="24"/>
          <w:szCs w:val="24"/>
          <w:bdr w:val="none" w:sz="0" w:space="0" w:color="auto" w:frame="1"/>
          <w:lang w:eastAsia="nl-NL"/>
        </w:rPr>
        <w:t>MSH6</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PV is bijna vier keer hoger dan voor </w:t>
      </w:r>
      <w:r w:rsidRPr="00412D5B">
        <w:rPr>
          <w:rFonts w:ascii="inherit" w:eastAsia="Times New Roman" w:hAnsi="inherit" w:cs="Helvetica"/>
          <w:i/>
          <w:iCs/>
          <w:color w:val="000000"/>
          <w:sz w:val="24"/>
          <w:szCs w:val="24"/>
          <w:bdr w:val="none" w:sz="0" w:space="0" w:color="auto" w:frame="1"/>
          <w:lang w:eastAsia="nl-NL"/>
        </w:rPr>
        <w:t>MLH1 </w:t>
      </w:r>
      <w:r w:rsidRPr="00412D5B">
        <w:rPr>
          <w:rFonts w:ascii="Helvetica" w:eastAsia="Times New Roman" w:hAnsi="Helvetica" w:cs="Helvetica"/>
          <w:color w:val="000000"/>
          <w:sz w:val="24"/>
          <w:szCs w:val="24"/>
          <w:lang w:eastAsia="nl-NL"/>
        </w:rPr>
        <w:t>en </w:t>
      </w:r>
      <w:r w:rsidRPr="00412D5B">
        <w:rPr>
          <w:rFonts w:ascii="inherit" w:eastAsia="Times New Roman" w:hAnsi="inherit" w:cs="Helvetica"/>
          <w:i/>
          <w:iCs/>
          <w:color w:val="000000"/>
          <w:sz w:val="24"/>
          <w:szCs w:val="24"/>
          <w:bdr w:val="none" w:sz="0" w:space="0" w:color="auto" w:frame="1"/>
          <w:lang w:eastAsia="nl-NL"/>
        </w:rPr>
        <w:t>MSH2</w:t>
      </w:r>
      <w:r w:rsidRPr="00412D5B">
        <w:rPr>
          <w:rFonts w:ascii="Helvetica" w:eastAsia="Times New Roman" w:hAnsi="Helvetica" w:cs="Helvetica"/>
          <w:color w:val="000000"/>
          <w:sz w:val="24"/>
          <w:szCs w:val="24"/>
          <w:lang w:eastAsia="nl-NL"/>
        </w:rPr>
        <w:t> (MLH1 = 1 in 1,946, MSH2 = 1 in 2,841, MSH6 = 1 in 758, PMS2 = 1 in 714) (Win et al., 2017). De risico’s op kankerontwikkeling liggen echter voor </w:t>
      </w:r>
      <w:r w:rsidRPr="00412D5B">
        <w:rPr>
          <w:rFonts w:ascii="inherit" w:eastAsia="Times New Roman" w:hAnsi="inherit" w:cs="Helvetica"/>
          <w:i/>
          <w:iCs/>
          <w:color w:val="000000"/>
          <w:sz w:val="24"/>
          <w:szCs w:val="24"/>
          <w:bdr w:val="none" w:sz="0" w:space="0" w:color="auto" w:frame="1"/>
          <w:lang w:eastAsia="nl-NL"/>
        </w:rPr>
        <w:t>MLH1</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MSH2</w:t>
      </w:r>
      <w:r w:rsidRPr="00412D5B">
        <w:rPr>
          <w:rFonts w:ascii="Helvetica" w:eastAsia="Times New Roman" w:hAnsi="Helvetica" w:cs="Helvetica"/>
          <w:color w:val="000000"/>
          <w:sz w:val="24"/>
          <w:szCs w:val="24"/>
          <w:lang w:eastAsia="nl-NL"/>
        </w:rPr>
        <w:t> PV duidelijk hoger dan voor </w:t>
      </w:r>
      <w:r w:rsidRPr="00412D5B">
        <w:rPr>
          <w:rFonts w:ascii="inherit" w:eastAsia="Times New Roman" w:hAnsi="inherit" w:cs="Helvetica"/>
          <w:i/>
          <w:iCs/>
          <w:color w:val="000000"/>
          <w:sz w:val="24"/>
          <w:szCs w:val="24"/>
          <w:bdr w:val="none" w:sz="0" w:space="0" w:color="auto" w:frame="1"/>
          <w:lang w:eastAsia="nl-NL"/>
        </w:rPr>
        <w:t>MSH6</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PMS2 PV</w:t>
      </w:r>
      <w:r w:rsidRPr="00412D5B">
        <w:rPr>
          <w:rFonts w:ascii="Helvetica" w:eastAsia="Times New Roman" w:hAnsi="Helvetica" w:cs="Helvetica"/>
          <w:color w:val="000000"/>
          <w:sz w:val="24"/>
          <w:szCs w:val="24"/>
          <w:lang w:eastAsia="nl-NL"/>
        </w:rPr>
        <w:t>, waardoor deze families tot nu toe veel vaker werden ontdekt en meegenomen in studies over Lynch syndroom.</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Sinds 2015 is het standaard beleid om in elk endometriumcarcinoom (EC) en in colorectaal carcinoom (CRC) bij patiënten onder de 70 jaar na te gaan of er sprake is van mismatch </w:t>
      </w:r>
      <w:proofErr w:type="spellStart"/>
      <w:r w:rsidRPr="00412D5B">
        <w:rPr>
          <w:rFonts w:ascii="Helvetica" w:eastAsia="Times New Roman" w:hAnsi="Helvetica" w:cs="Helvetica"/>
          <w:color w:val="000000"/>
          <w:sz w:val="24"/>
          <w:szCs w:val="24"/>
          <w:lang w:eastAsia="nl-NL"/>
        </w:rPr>
        <w:t>repair</w:t>
      </w:r>
      <w:proofErr w:type="spellEnd"/>
      <w:r w:rsidRPr="00412D5B">
        <w:rPr>
          <w:rFonts w:ascii="Helvetica" w:eastAsia="Times New Roman" w:hAnsi="Helvetica" w:cs="Helvetica"/>
          <w:color w:val="000000"/>
          <w:sz w:val="24"/>
          <w:szCs w:val="24"/>
          <w:lang w:eastAsia="nl-NL"/>
        </w:rPr>
        <w:t xml:space="preserve"> deficiëntie (</w:t>
      </w:r>
      <w:proofErr w:type="spellStart"/>
      <w:r w:rsidRPr="00412D5B">
        <w:rPr>
          <w:rFonts w:ascii="Helvetica" w:eastAsia="Times New Roman" w:hAnsi="Helvetica" w:cs="Helvetica"/>
          <w:color w:val="000000"/>
          <w:sz w:val="24"/>
          <w:szCs w:val="24"/>
          <w:lang w:eastAsia="nl-NL"/>
        </w:rPr>
        <w:t>MMRd</w:t>
      </w:r>
      <w:proofErr w:type="spellEnd"/>
      <w:r w:rsidRPr="00412D5B">
        <w:rPr>
          <w:rFonts w:ascii="Helvetica" w:eastAsia="Times New Roman" w:hAnsi="Helvetica" w:cs="Helvetica"/>
          <w:color w:val="000000"/>
          <w:sz w:val="24"/>
          <w:szCs w:val="24"/>
          <w:lang w:eastAsia="nl-NL"/>
        </w:rPr>
        <w:t xml:space="preserve">).  Indien er sprake is van afwezigheid van </w:t>
      </w:r>
      <w:proofErr w:type="spellStart"/>
      <w:r w:rsidRPr="00412D5B">
        <w:rPr>
          <w:rFonts w:ascii="Helvetica" w:eastAsia="Times New Roman" w:hAnsi="Helvetica" w:cs="Helvetica"/>
          <w:color w:val="000000"/>
          <w:sz w:val="24"/>
          <w:szCs w:val="24"/>
          <w:lang w:eastAsia="nl-NL"/>
        </w:rPr>
        <w:t>aankleuring</w:t>
      </w:r>
      <w:proofErr w:type="spellEnd"/>
      <w:r w:rsidRPr="00412D5B">
        <w:rPr>
          <w:rFonts w:ascii="Helvetica" w:eastAsia="Times New Roman" w:hAnsi="Helvetica" w:cs="Helvetica"/>
          <w:color w:val="000000"/>
          <w:sz w:val="24"/>
          <w:szCs w:val="24"/>
          <w:lang w:eastAsia="nl-NL"/>
        </w:rPr>
        <w:t xml:space="preserve"> van 1 of 2 van de MMR eiwitten is er indicatie om na te gaan of er sprake is van een kiembaan pathogene variant in een van de MMR genen via de klinisch geneticus. Door dit beleid is het aantal bekende </w:t>
      </w:r>
      <w:r w:rsidRPr="00412D5B">
        <w:rPr>
          <w:rFonts w:ascii="inherit" w:eastAsia="Times New Roman" w:hAnsi="inherit" w:cs="Helvetica"/>
          <w:i/>
          <w:iCs/>
          <w:color w:val="000000"/>
          <w:sz w:val="24"/>
          <w:szCs w:val="24"/>
          <w:bdr w:val="none" w:sz="0" w:space="0" w:color="auto" w:frame="1"/>
          <w:lang w:eastAsia="nl-NL"/>
        </w:rPr>
        <w:t>MSH6</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Lynch syndroom families groeiende, die dus over het algemeen een minder belaste familieanamnese hebben voor kanker.</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Een recente prospectieve studie laat zien dat het cumulatieve risico op leeftijd  van 70 jaar om CRC te krijgen rond de 50-60% ligt voor </w:t>
      </w:r>
      <w:r w:rsidRPr="00412D5B">
        <w:rPr>
          <w:rFonts w:ascii="inherit" w:eastAsia="Times New Roman" w:hAnsi="inherit" w:cs="Helvetica"/>
          <w:i/>
          <w:iCs/>
          <w:color w:val="000000"/>
          <w:sz w:val="24"/>
          <w:szCs w:val="24"/>
          <w:bdr w:val="none" w:sz="0" w:space="0" w:color="auto" w:frame="1"/>
          <w:lang w:eastAsia="nl-NL"/>
        </w:rPr>
        <w:t>MLH1</w:t>
      </w:r>
      <w:r w:rsidRPr="00412D5B">
        <w:rPr>
          <w:rFonts w:ascii="Helvetica" w:eastAsia="Times New Roman" w:hAnsi="Helvetica" w:cs="Helvetica"/>
          <w:color w:val="000000"/>
          <w:sz w:val="24"/>
          <w:szCs w:val="24"/>
          <w:lang w:eastAsia="nl-NL"/>
        </w:rPr>
        <w:t> en</w:t>
      </w:r>
      <w:r w:rsidRPr="00412D5B">
        <w:rPr>
          <w:rFonts w:ascii="inherit" w:eastAsia="Times New Roman" w:hAnsi="inherit" w:cs="Helvetica"/>
          <w:i/>
          <w:iCs/>
          <w:color w:val="000000"/>
          <w:sz w:val="24"/>
          <w:szCs w:val="24"/>
          <w:bdr w:val="none" w:sz="0" w:space="0" w:color="auto" w:frame="1"/>
          <w:lang w:eastAsia="nl-NL"/>
        </w:rPr>
        <w:t> MSH2</w:t>
      </w:r>
      <w:r w:rsidRPr="00412D5B">
        <w:rPr>
          <w:rFonts w:ascii="Helvetica" w:eastAsia="Times New Roman" w:hAnsi="Helvetica" w:cs="Helvetica"/>
          <w:color w:val="000000"/>
          <w:sz w:val="24"/>
          <w:szCs w:val="24"/>
          <w:lang w:eastAsia="nl-NL"/>
        </w:rPr>
        <w:t> PV (</w:t>
      </w:r>
      <w:proofErr w:type="spellStart"/>
      <w:r w:rsidRPr="00412D5B">
        <w:rPr>
          <w:rFonts w:ascii="Helvetica" w:eastAsia="Times New Roman" w:hAnsi="Helvetica" w:cs="Helvetica"/>
          <w:color w:val="000000"/>
          <w:sz w:val="24"/>
          <w:szCs w:val="24"/>
          <w:lang w:eastAsia="nl-NL"/>
        </w:rPr>
        <w:t>Dominguez-Valentin</w:t>
      </w:r>
      <w:proofErr w:type="spellEnd"/>
      <w:r w:rsidRPr="00412D5B">
        <w:rPr>
          <w:rFonts w:ascii="Helvetica" w:eastAsia="Times New Roman" w:hAnsi="Helvetica" w:cs="Helvetica"/>
          <w:color w:val="000000"/>
          <w:sz w:val="24"/>
          <w:szCs w:val="24"/>
          <w:lang w:eastAsia="nl-NL"/>
        </w:rPr>
        <w:t xml:space="preserve"> et al 2019). Voor </w:t>
      </w:r>
      <w:r w:rsidRPr="00412D5B">
        <w:rPr>
          <w:rFonts w:ascii="inherit" w:eastAsia="Times New Roman" w:hAnsi="inherit" w:cs="Helvetica"/>
          <w:i/>
          <w:iCs/>
          <w:color w:val="000000"/>
          <w:sz w:val="24"/>
          <w:szCs w:val="24"/>
          <w:bdr w:val="none" w:sz="0" w:space="0" w:color="auto" w:frame="1"/>
          <w:lang w:eastAsia="nl-NL"/>
        </w:rPr>
        <w:t>MSH6 ligt</w:t>
      </w:r>
      <w:r w:rsidRPr="00412D5B">
        <w:rPr>
          <w:rFonts w:ascii="Helvetica" w:eastAsia="Times New Roman" w:hAnsi="Helvetica" w:cs="Helvetica"/>
          <w:color w:val="000000"/>
          <w:sz w:val="24"/>
          <w:szCs w:val="24"/>
          <w:lang w:eastAsia="nl-NL"/>
        </w:rPr>
        <w:t> dit risico rond de 20%. Het aantal patiënten en de follow up duur in deze studie was te laag om een betrouwbare risicoberekening voor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PV mutatiedragers te geven.</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In 2018 verscheen een relatief grote Nederlandse retrospectieve studie naar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Hieruit bleek dat het cumulatieve risico op CRC voor het 80</w:t>
      </w:r>
      <w:r w:rsidRPr="00412D5B">
        <w:rPr>
          <w:rFonts w:ascii="inherit" w:eastAsia="Times New Roman" w:hAnsi="inherit" w:cs="Helvetica"/>
          <w:color w:val="000000"/>
          <w:sz w:val="20"/>
          <w:szCs w:val="20"/>
          <w:bdr w:val="none" w:sz="0" w:space="0" w:color="auto" w:frame="1"/>
          <w:vertAlign w:val="superscript"/>
          <w:lang w:eastAsia="nl-NL"/>
        </w:rPr>
        <w:t>ste</w:t>
      </w:r>
      <w:r w:rsidRPr="00412D5B">
        <w:rPr>
          <w:rFonts w:ascii="Helvetica" w:eastAsia="Times New Roman" w:hAnsi="Helvetica" w:cs="Helvetica"/>
          <w:color w:val="000000"/>
          <w:sz w:val="24"/>
          <w:szCs w:val="24"/>
          <w:lang w:eastAsia="nl-NL"/>
        </w:rPr>
        <w:t> jaar voor mensen met een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PV veel lager ligt dan voor </w:t>
      </w:r>
      <w:r w:rsidRPr="00412D5B">
        <w:rPr>
          <w:rFonts w:ascii="inherit" w:eastAsia="Times New Roman" w:hAnsi="inherit" w:cs="Helvetica"/>
          <w:i/>
          <w:iCs/>
          <w:color w:val="000000"/>
          <w:sz w:val="24"/>
          <w:szCs w:val="24"/>
          <w:bdr w:val="none" w:sz="0" w:space="0" w:color="auto" w:frame="1"/>
          <w:lang w:eastAsia="nl-NL"/>
        </w:rPr>
        <w:t>MLH1</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MSH2</w:t>
      </w:r>
      <w:r w:rsidRPr="00412D5B">
        <w:rPr>
          <w:rFonts w:ascii="Helvetica" w:eastAsia="Times New Roman" w:hAnsi="Helvetica" w:cs="Helvetica"/>
          <w:color w:val="000000"/>
          <w:sz w:val="24"/>
          <w:szCs w:val="24"/>
          <w:lang w:eastAsia="nl-NL"/>
        </w:rPr>
        <w:t xml:space="preserve">, namelijk rond de 12% (ten </w:t>
      </w:r>
      <w:proofErr w:type="spellStart"/>
      <w:r w:rsidRPr="00412D5B">
        <w:rPr>
          <w:rFonts w:ascii="Helvetica" w:eastAsia="Times New Roman" w:hAnsi="Helvetica" w:cs="Helvetica"/>
          <w:color w:val="000000"/>
          <w:sz w:val="24"/>
          <w:szCs w:val="24"/>
          <w:lang w:eastAsia="nl-NL"/>
        </w:rPr>
        <w:t>Broeke</w:t>
      </w:r>
      <w:proofErr w:type="spellEnd"/>
      <w:r w:rsidRPr="00412D5B">
        <w:rPr>
          <w:rFonts w:ascii="Helvetica" w:eastAsia="Times New Roman" w:hAnsi="Helvetica" w:cs="Helvetica"/>
          <w:color w:val="000000"/>
          <w:sz w:val="24"/>
          <w:szCs w:val="24"/>
          <w:lang w:eastAsia="nl-NL"/>
        </w:rPr>
        <w:t xml:space="preserve"> 2018). Een andere studie vond een cumulatief CRC risico van 9% voor het 70</w:t>
      </w:r>
      <w:r w:rsidRPr="00412D5B">
        <w:rPr>
          <w:rFonts w:ascii="inherit" w:eastAsia="Times New Roman" w:hAnsi="inherit" w:cs="Helvetica"/>
          <w:color w:val="000000"/>
          <w:sz w:val="20"/>
          <w:szCs w:val="20"/>
          <w:bdr w:val="none" w:sz="0" w:space="0" w:color="auto" w:frame="1"/>
          <w:vertAlign w:val="superscript"/>
          <w:lang w:eastAsia="nl-NL"/>
        </w:rPr>
        <w:t>ste</w:t>
      </w:r>
      <w:r w:rsidRPr="00412D5B">
        <w:rPr>
          <w:rFonts w:ascii="Helvetica" w:eastAsia="Times New Roman" w:hAnsi="Helvetica" w:cs="Helvetica"/>
          <w:color w:val="000000"/>
          <w:sz w:val="24"/>
          <w:szCs w:val="24"/>
          <w:lang w:eastAsia="nl-NL"/>
        </w:rPr>
        <w:t> jaar (</w:t>
      </w:r>
      <w:proofErr w:type="spellStart"/>
      <w:r w:rsidRPr="00412D5B">
        <w:rPr>
          <w:rFonts w:ascii="Helvetica" w:eastAsia="Times New Roman" w:hAnsi="Helvetica" w:cs="Helvetica"/>
          <w:color w:val="000000"/>
          <w:sz w:val="24"/>
          <w:szCs w:val="24"/>
          <w:lang w:eastAsia="nl-NL"/>
        </w:rPr>
        <w:t>Suerink</w:t>
      </w:r>
      <w:proofErr w:type="spellEnd"/>
      <w:r w:rsidRPr="00412D5B">
        <w:rPr>
          <w:rFonts w:ascii="Helvetica" w:eastAsia="Times New Roman" w:hAnsi="Helvetica" w:cs="Helvetica"/>
          <w:color w:val="000000"/>
          <w:sz w:val="24"/>
          <w:szCs w:val="24"/>
          <w:lang w:eastAsia="nl-NL"/>
        </w:rPr>
        <w:t xml:space="preserve"> et al 2019)</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De kans op EC is voor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ook ongeveer 12%. Dit is aanzienlijk lager dan voor vrouwen met een </w:t>
      </w:r>
      <w:r w:rsidRPr="00412D5B">
        <w:rPr>
          <w:rFonts w:ascii="inherit" w:eastAsia="Times New Roman" w:hAnsi="inherit" w:cs="Helvetica"/>
          <w:i/>
          <w:iCs/>
          <w:color w:val="000000"/>
          <w:sz w:val="24"/>
          <w:szCs w:val="24"/>
          <w:bdr w:val="none" w:sz="0" w:space="0" w:color="auto" w:frame="1"/>
          <w:lang w:eastAsia="nl-NL"/>
        </w:rPr>
        <w:t>MLH1 </w:t>
      </w:r>
      <w:r w:rsidRPr="00412D5B">
        <w:rPr>
          <w:rFonts w:ascii="Helvetica" w:eastAsia="Times New Roman" w:hAnsi="Helvetica" w:cs="Helvetica"/>
          <w:color w:val="000000"/>
          <w:sz w:val="24"/>
          <w:szCs w:val="24"/>
          <w:lang w:eastAsia="nl-NL"/>
        </w:rPr>
        <w:t>en </w:t>
      </w:r>
      <w:r w:rsidRPr="00412D5B">
        <w:rPr>
          <w:rFonts w:ascii="inherit" w:eastAsia="Times New Roman" w:hAnsi="inherit" w:cs="Helvetica"/>
          <w:i/>
          <w:iCs/>
          <w:color w:val="000000"/>
          <w:sz w:val="24"/>
          <w:szCs w:val="24"/>
          <w:bdr w:val="none" w:sz="0" w:space="0" w:color="auto" w:frame="1"/>
          <w:lang w:eastAsia="nl-NL"/>
        </w:rPr>
        <w:t>MSH2 </w:t>
      </w:r>
      <w:r w:rsidRPr="00412D5B">
        <w:rPr>
          <w:rFonts w:ascii="Helvetica" w:eastAsia="Times New Roman" w:hAnsi="Helvetica" w:cs="Helvetica"/>
          <w:color w:val="000000"/>
          <w:sz w:val="24"/>
          <w:szCs w:val="24"/>
          <w:lang w:eastAsia="nl-NL"/>
        </w:rPr>
        <w:t>mutatie waarbij het risico rond de 40-50% ligt (</w:t>
      </w:r>
      <w:proofErr w:type="spellStart"/>
      <w:r w:rsidRPr="00412D5B">
        <w:rPr>
          <w:rFonts w:ascii="Helvetica" w:eastAsia="Times New Roman" w:hAnsi="Helvetica" w:cs="Helvetica"/>
          <w:color w:val="000000"/>
          <w:sz w:val="24"/>
          <w:szCs w:val="24"/>
          <w:lang w:eastAsia="nl-NL"/>
        </w:rPr>
        <w:t>Dominguez-Valentin</w:t>
      </w:r>
      <w:proofErr w:type="spellEnd"/>
      <w:r w:rsidRPr="00412D5B">
        <w:rPr>
          <w:rFonts w:ascii="Helvetica" w:eastAsia="Times New Roman" w:hAnsi="Helvetica" w:cs="Helvetica"/>
          <w:color w:val="000000"/>
          <w:sz w:val="24"/>
          <w:szCs w:val="24"/>
          <w:lang w:eastAsia="nl-NL"/>
        </w:rPr>
        <w:t xml:space="preserve"> et al., 2019, ten </w:t>
      </w:r>
      <w:proofErr w:type="spellStart"/>
      <w:r w:rsidRPr="00412D5B">
        <w:rPr>
          <w:rFonts w:ascii="Helvetica" w:eastAsia="Times New Roman" w:hAnsi="Helvetica" w:cs="Helvetica"/>
          <w:color w:val="000000"/>
          <w:sz w:val="24"/>
          <w:szCs w:val="24"/>
          <w:lang w:eastAsia="nl-NL"/>
        </w:rPr>
        <w:t>Broeke</w:t>
      </w:r>
      <w:proofErr w:type="spellEnd"/>
      <w:r w:rsidRPr="00412D5B">
        <w:rPr>
          <w:rFonts w:ascii="Helvetica" w:eastAsia="Times New Roman" w:hAnsi="Helvetica" w:cs="Helvetica"/>
          <w:color w:val="000000"/>
          <w:sz w:val="24"/>
          <w:szCs w:val="24"/>
          <w:lang w:eastAsia="nl-NL"/>
        </w:rPr>
        <w:t xml:space="preserve"> et al.,2018). Zie ook de website van de </w:t>
      </w:r>
      <w:proofErr w:type="spellStart"/>
      <w:r w:rsidRPr="00412D5B">
        <w:rPr>
          <w:rFonts w:ascii="Helvetica" w:eastAsia="Times New Roman" w:hAnsi="Helvetica" w:cs="Helvetica"/>
          <w:color w:val="000000"/>
          <w:sz w:val="24"/>
          <w:szCs w:val="24"/>
          <w:lang w:eastAsia="nl-NL"/>
        </w:rPr>
        <w:lastRenderedPageBreak/>
        <w:t>Prospective</w:t>
      </w:r>
      <w:proofErr w:type="spellEnd"/>
      <w:r w:rsidRPr="00412D5B">
        <w:rPr>
          <w:rFonts w:ascii="Helvetica" w:eastAsia="Times New Roman" w:hAnsi="Helvetica" w:cs="Helvetica"/>
          <w:color w:val="000000"/>
          <w:sz w:val="24"/>
          <w:szCs w:val="24"/>
          <w:lang w:eastAsia="nl-NL"/>
        </w:rPr>
        <w:t xml:space="preserve"> Lynch </w:t>
      </w:r>
      <w:proofErr w:type="spellStart"/>
      <w:r w:rsidRPr="00412D5B">
        <w:rPr>
          <w:rFonts w:ascii="Helvetica" w:eastAsia="Times New Roman" w:hAnsi="Helvetica" w:cs="Helvetica"/>
          <w:color w:val="000000"/>
          <w:sz w:val="24"/>
          <w:szCs w:val="24"/>
          <w:lang w:eastAsia="nl-NL"/>
        </w:rPr>
        <w:t>Syndrome</w:t>
      </w:r>
      <w:proofErr w:type="spellEnd"/>
      <w:r w:rsidRPr="00412D5B">
        <w:rPr>
          <w:rFonts w:ascii="Helvetica" w:eastAsia="Times New Roman" w:hAnsi="Helvetica" w:cs="Helvetica"/>
          <w:color w:val="000000"/>
          <w:sz w:val="24"/>
          <w:szCs w:val="24"/>
          <w:lang w:eastAsia="nl-NL"/>
        </w:rPr>
        <w:t xml:space="preserve"> Database website (www.PLSD.eu) voor de laatste cijfers in een prospectief gevolgd cohort van mensen met het Lynch syndroom uit verschillende landen. Het risico op andere kankers, zoals dat op ovariumcarcinoom, is niet bewezen hoger bij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xml:space="preserve"> PV dan het risico voor de algemene Nederlandse populatie (ten </w:t>
      </w:r>
      <w:proofErr w:type="spellStart"/>
      <w:r w:rsidRPr="00412D5B">
        <w:rPr>
          <w:rFonts w:ascii="Helvetica" w:eastAsia="Times New Roman" w:hAnsi="Helvetica" w:cs="Helvetica"/>
          <w:color w:val="000000"/>
          <w:sz w:val="24"/>
          <w:szCs w:val="24"/>
          <w:lang w:eastAsia="nl-NL"/>
        </w:rPr>
        <w:t>Broeke</w:t>
      </w:r>
      <w:proofErr w:type="spellEnd"/>
      <w:r w:rsidRPr="00412D5B">
        <w:rPr>
          <w:rFonts w:ascii="Helvetica" w:eastAsia="Times New Roman" w:hAnsi="Helvetica" w:cs="Helvetica"/>
          <w:color w:val="000000"/>
          <w:sz w:val="24"/>
          <w:szCs w:val="24"/>
          <w:lang w:eastAsia="nl-NL"/>
        </w:rPr>
        <w:t xml:space="preserve"> 2018).</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Tenslotte begint de kans om CRC te krijgen bij </w:t>
      </w:r>
      <w:r w:rsidRPr="00412D5B">
        <w:rPr>
          <w:rFonts w:ascii="inherit" w:eastAsia="Times New Roman" w:hAnsi="inherit" w:cs="Helvetica"/>
          <w:i/>
          <w:iCs/>
          <w:color w:val="000000"/>
          <w:sz w:val="24"/>
          <w:szCs w:val="24"/>
          <w:bdr w:val="none" w:sz="0" w:space="0" w:color="auto" w:frame="1"/>
          <w:lang w:eastAsia="nl-NL"/>
        </w:rPr>
        <w:t>PMS2 </w:t>
      </w:r>
      <w:r w:rsidRPr="00412D5B">
        <w:rPr>
          <w:rFonts w:ascii="Helvetica" w:eastAsia="Times New Roman" w:hAnsi="Helvetica" w:cs="Helvetica"/>
          <w:color w:val="000000"/>
          <w:sz w:val="24"/>
          <w:szCs w:val="24"/>
          <w:lang w:eastAsia="nl-NL"/>
        </w:rPr>
        <w:t xml:space="preserve">PV </w:t>
      </w:r>
      <w:proofErr w:type="spellStart"/>
      <w:r w:rsidRPr="00412D5B">
        <w:rPr>
          <w:rFonts w:ascii="Helvetica" w:eastAsia="Times New Roman" w:hAnsi="Helvetica" w:cs="Helvetica"/>
          <w:color w:val="000000"/>
          <w:sz w:val="24"/>
          <w:szCs w:val="24"/>
          <w:lang w:eastAsia="nl-NL"/>
        </w:rPr>
        <w:t>dragerspas</w:t>
      </w:r>
      <w:proofErr w:type="spellEnd"/>
      <w:r w:rsidRPr="00412D5B">
        <w:rPr>
          <w:rFonts w:ascii="Helvetica" w:eastAsia="Times New Roman" w:hAnsi="Helvetica" w:cs="Helvetica"/>
          <w:color w:val="000000"/>
          <w:sz w:val="24"/>
          <w:szCs w:val="24"/>
          <w:lang w:eastAsia="nl-NL"/>
        </w:rPr>
        <w:t xml:space="preserve"> op oudere leeftijd, in vergelijking met </w:t>
      </w:r>
      <w:r w:rsidRPr="00412D5B">
        <w:rPr>
          <w:rFonts w:ascii="inherit" w:eastAsia="Times New Roman" w:hAnsi="inherit" w:cs="Helvetica"/>
          <w:i/>
          <w:iCs/>
          <w:color w:val="000000"/>
          <w:sz w:val="24"/>
          <w:szCs w:val="24"/>
          <w:bdr w:val="none" w:sz="0" w:space="0" w:color="auto" w:frame="1"/>
          <w:lang w:eastAsia="nl-NL"/>
        </w:rPr>
        <w:t>MLH1</w:t>
      </w:r>
      <w:r w:rsidRPr="00412D5B">
        <w:rPr>
          <w:rFonts w:ascii="Helvetica" w:eastAsia="Times New Roman" w:hAnsi="Helvetica" w:cs="Helvetica"/>
          <w:color w:val="000000"/>
          <w:sz w:val="24"/>
          <w:szCs w:val="24"/>
          <w:lang w:eastAsia="nl-NL"/>
        </w:rPr>
        <w:t> en </w:t>
      </w:r>
      <w:r w:rsidRPr="00412D5B">
        <w:rPr>
          <w:rFonts w:ascii="inherit" w:eastAsia="Times New Roman" w:hAnsi="inherit" w:cs="Helvetica"/>
          <w:i/>
          <w:iCs/>
          <w:color w:val="000000"/>
          <w:sz w:val="24"/>
          <w:szCs w:val="24"/>
          <w:bdr w:val="none" w:sz="0" w:space="0" w:color="auto" w:frame="1"/>
          <w:lang w:eastAsia="nl-NL"/>
        </w:rPr>
        <w:t>MSH2 </w:t>
      </w:r>
      <w:r w:rsidRPr="00412D5B">
        <w:rPr>
          <w:rFonts w:ascii="Helvetica" w:eastAsia="Times New Roman" w:hAnsi="Helvetica" w:cs="Helvetica"/>
          <w:color w:val="000000"/>
          <w:sz w:val="24"/>
          <w:szCs w:val="24"/>
          <w:lang w:eastAsia="nl-NL"/>
        </w:rPr>
        <w:t>PV dragers. Onder de 40 jaar komt CRC bij familieleden met een </w:t>
      </w:r>
      <w:r w:rsidRPr="00412D5B">
        <w:rPr>
          <w:rFonts w:ascii="inherit" w:eastAsia="Times New Roman" w:hAnsi="inherit" w:cs="Helvetica"/>
          <w:i/>
          <w:iCs/>
          <w:color w:val="000000"/>
          <w:sz w:val="24"/>
          <w:szCs w:val="24"/>
          <w:bdr w:val="none" w:sz="0" w:space="0" w:color="auto" w:frame="1"/>
          <w:lang w:eastAsia="nl-NL"/>
        </w:rPr>
        <w:t>PMS2 </w:t>
      </w:r>
      <w:r w:rsidRPr="00412D5B">
        <w:rPr>
          <w:rFonts w:ascii="Helvetica" w:eastAsia="Times New Roman" w:hAnsi="Helvetica" w:cs="Helvetica"/>
          <w:color w:val="000000"/>
          <w:sz w:val="24"/>
          <w:szCs w:val="24"/>
          <w:lang w:eastAsia="nl-NL"/>
        </w:rPr>
        <w:t>PV zeer weinig tot niet voor in verschillende studies (</w:t>
      </w:r>
      <w:proofErr w:type="spellStart"/>
      <w:r w:rsidRPr="00412D5B">
        <w:rPr>
          <w:rFonts w:ascii="Helvetica" w:eastAsia="Times New Roman" w:hAnsi="Helvetica" w:cs="Helvetica"/>
          <w:color w:val="000000"/>
          <w:sz w:val="24"/>
          <w:szCs w:val="24"/>
          <w:lang w:eastAsia="nl-NL"/>
        </w:rPr>
        <w:t>Dominguez-Valentin</w:t>
      </w:r>
      <w:proofErr w:type="spellEnd"/>
      <w:r w:rsidRPr="00412D5B">
        <w:rPr>
          <w:rFonts w:ascii="Helvetica" w:eastAsia="Times New Roman" w:hAnsi="Helvetica" w:cs="Helvetica"/>
          <w:color w:val="000000"/>
          <w:sz w:val="24"/>
          <w:szCs w:val="24"/>
          <w:lang w:eastAsia="nl-NL"/>
        </w:rPr>
        <w:t xml:space="preserve"> et al 2019, ten </w:t>
      </w:r>
      <w:proofErr w:type="spellStart"/>
      <w:r w:rsidRPr="00412D5B">
        <w:rPr>
          <w:rFonts w:ascii="Helvetica" w:eastAsia="Times New Roman" w:hAnsi="Helvetica" w:cs="Helvetica"/>
          <w:color w:val="000000"/>
          <w:sz w:val="24"/>
          <w:szCs w:val="24"/>
          <w:lang w:eastAsia="nl-NL"/>
        </w:rPr>
        <w:t>Broeke</w:t>
      </w:r>
      <w:proofErr w:type="spellEnd"/>
      <w:r w:rsidRPr="00412D5B">
        <w:rPr>
          <w:rFonts w:ascii="Helvetica" w:eastAsia="Times New Roman" w:hAnsi="Helvetica" w:cs="Helvetica"/>
          <w:color w:val="000000"/>
          <w:sz w:val="24"/>
          <w:szCs w:val="24"/>
          <w:lang w:eastAsia="nl-NL"/>
        </w:rPr>
        <w:t xml:space="preserve"> 2018).</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In inmiddels drie Europese/ Britse richtlijnen (van Leerdam et al., 2019, </w:t>
      </w:r>
      <w:proofErr w:type="spellStart"/>
      <w:r w:rsidRPr="00412D5B">
        <w:rPr>
          <w:rFonts w:ascii="Helvetica" w:eastAsia="Times New Roman" w:hAnsi="Helvetica" w:cs="Helvetica"/>
          <w:color w:val="000000"/>
          <w:sz w:val="24"/>
          <w:szCs w:val="24"/>
          <w:lang w:eastAsia="nl-NL"/>
        </w:rPr>
        <w:t>Monahan</w:t>
      </w:r>
      <w:proofErr w:type="spellEnd"/>
      <w:r w:rsidRPr="00412D5B">
        <w:rPr>
          <w:rFonts w:ascii="Helvetica" w:eastAsia="Times New Roman" w:hAnsi="Helvetica" w:cs="Helvetica"/>
          <w:color w:val="000000"/>
          <w:sz w:val="24"/>
          <w:szCs w:val="24"/>
          <w:lang w:eastAsia="nl-NL"/>
        </w:rPr>
        <w:t xml:space="preserve"> et al, 2020 en </w:t>
      </w:r>
      <w:proofErr w:type="spellStart"/>
      <w:r w:rsidRPr="00412D5B">
        <w:rPr>
          <w:rFonts w:ascii="Helvetica" w:eastAsia="Times New Roman" w:hAnsi="Helvetica" w:cs="Helvetica"/>
          <w:color w:val="000000"/>
          <w:sz w:val="24"/>
          <w:szCs w:val="24"/>
          <w:lang w:eastAsia="nl-NL"/>
        </w:rPr>
        <w:t>Seppala</w:t>
      </w:r>
      <w:proofErr w:type="spellEnd"/>
      <w:r w:rsidRPr="00412D5B">
        <w:rPr>
          <w:rFonts w:ascii="Helvetica" w:eastAsia="Times New Roman" w:hAnsi="Helvetica" w:cs="Helvetica"/>
          <w:color w:val="000000"/>
          <w:sz w:val="24"/>
          <w:szCs w:val="24"/>
          <w:lang w:eastAsia="nl-NL"/>
        </w:rPr>
        <w:t xml:space="preserve"> et al., 2020) voor erfelijke darmkanker/Lynch syndroom is de geadviseerde start leeftijd voor individuen met Lynch syndroom veroorzaakt door een PV in </w:t>
      </w:r>
      <w:r w:rsidRPr="00412D5B">
        <w:rPr>
          <w:rFonts w:ascii="inherit" w:eastAsia="Times New Roman" w:hAnsi="inherit" w:cs="Helvetica"/>
          <w:i/>
          <w:iCs/>
          <w:color w:val="000000"/>
          <w:sz w:val="24"/>
          <w:szCs w:val="24"/>
          <w:bdr w:val="none" w:sz="0" w:space="0" w:color="auto" w:frame="1"/>
          <w:lang w:eastAsia="nl-NL"/>
        </w:rPr>
        <w:t>PMS2 </w:t>
      </w:r>
      <w:r w:rsidRPr="00412D5B">
        <w:rPr>
          <w:rFonts w:ascii="Helvetica" w:eastAsia="Times New Roman" w:hAnsi="Helvetica" w:cs="Helvetica"/>
          <w:color w:val="000000"/>
          <w:sz w:val="24"/>
          <w:szCs w:val="24"/>
          <w:lang w:eastAsia="nl-NL"/>
        </w:rPr>
        <w:t>met 10 jaar verhoogd van 25 naar 35 jaar.</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Voor nu is in overleg met de beroepsvereniging van de Klinische Genetica (VKGN) en MDL (NVMDL) besloten de startleeftijd voor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PV dragers te verhogen naar 35 jaar. Dit advies loopt vooruit op de herziening van de Nederlandse richtlijn voor Erfelijke Darmkanker, maar het werd als onwenselijk gezien dit nog langer uit te stellen gezien de extra belasting die de controles op jonge leeftijd met zich meebrengt.</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Het advies is verder om terughoudend te zijn met een preventieve operatie van de baarmoeder bij </w:t>
      </w:r>
      <w:r w:rsidRPr="00412D5B">
        <w:rPr>
          <w:rFonts w:ascii="inherit" w:eastAsia="Times New Roman" w:hAnsi="inherit" w:cs="Helvetica"/>
          <w:i/>
          <w:iCs/>
          <w:color w:val="000000"/>
          <w:sz w:val="24"/>
          <w:szCs w:val="24"/>
          <w:bdr w:val="none" w:sz="0" w:space="0" w:color="auto" w:frame="1"/>
          <w:lang w:eastAsia="nl-NL"/>
        </w:rPr>
        <w:t>PMS2</w:t>
      </w:r>
      <w:r w:rsidRPr="00412D5B">
        <w:rPr>
          <w:rFonts w:ascii="Helvetica" w:eastAsia="Times New Roman" w:hAnsi="Helvetica" w:cs="Helvetica"/>
          <w:color w:val="000000"/>
          <w:sz w:val="24"/>
          <w:szCs w:val="24"/>
          <w:lang w:eastAsia="nl-NL"/>
        </w:rPr>
        <w:t> en is er geen draagvlak meer voor preventieve operatie van de eierstokken.</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De komende maanden zal nog verder worden gekeken naar mogelijkheden om PMS2 PV mutatie dragers te informeren. Er zal hierover worden bericht in het blad van de Lynch-polyposis patiënten vereniging. Op de VKGN website is inmiddels een aangepaste brief voor mensen met een </w:t>
      </w:r>
      <w:r w:rsidRPr="00412D5B">
        <w:rPr>
          <w:rFonts w:ascii="inherit" w:eastAsia="Times New Roman" w:hAnsi="inherit" w:cs="Helvetica"/>
          <w:i/>
          <w:iCs/>
          <w:color w:val="000000"/>
          <w:sz w:val="24"/>
          <w:szCs w:val="24"/>
          <w:bdr w:val="none" w:sz="0" w:space="0" w:color="auto" w:frame="1"/>
          <w:lang w:eastAsia="nl-NL"/>
        </w:rPr>
        <w:t>PMS2 PV </w:t>
      </w:r>
      <w:r w:rsidRPr="00412D5B">
        <w:rPr>
          <w:rFonts w:ascii="Helvetica" w:eastAsia="Times New Roman" w:hAnsi="Helvetica" w:cs="Helvetica"/>
          <w:color w:val="000000"/>
          <w:sz w:val="24"/>
          <w:szCs w:val="24"/>
          <w:lang w:eastAsia="nl-NL"/>
        </w:rPr>
        <w:t>te vinden.</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Bij vragen kunnen mensen met Lynch syndroom contact opnemen met hun eigen MDL-arts, klinisch geneticus, de stichting opsporing erfelijke tumoren (</w:t>
      </w:r>
      <w:proofErr w:type="spellStart"/>
      <w:r w:rsidRPr="00412D5B">
        <w:rPr>
          <w:rFonts w:ascii="Helvetica" w:eastAsia="Times New Roman" w:hAnsi="Helvetica" w:cs="Helvetica"/>
          <w:color w:val="000000"/>
          <w:sz w:val="24"/>
          <w:szCs w:val="24"/>
          <w:lang w:eastAsia="nl-NL"/>
        </w:rPr>
        <w:t>StOET</w:t>
      </w:r>
      <w:proofErr w:type="spellEnd"/>
      <w:r w:rsidRPr="00412D5B">
        <w:rPr>
          <w:rFonts w:ascii="Helvetica" w:eastAsia="Times New Roman" w:hAnsi="Helvetica" w:cs="Helvetica"/>
          <w:color w:val="000000"/>
          <w:sz w:val="24"/>
          <w:szCs w:val="24"/>
          <w:lang w:eastAsia="nl-NL"/>
        </w:rPr>
        <w:t>) of met de patiënten vereniging. Uiteraard kunt u ook contact opnemen met een van ondergetekende, die allen afkomstig zijn uit de commissie voor herziening van de richtlijn erfelijke darmkanker, als u verder vragen of opmerkingen hebt.</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Maartje Nielsen</w:t>
      </w:r>
      <w:r w:rsidRPr="00412D5B">
        <w:rPr>
          <w:rFonts w:ascii="inherit" w:eastAsia="Times New Roman" w:hAnsi="inherit" w:cs="Helvetica"/>
          <w:color w:val="000000"/>
          <w:sz w:val="20"/>
          <w:szCs w:val="20"/>
          <w:bdr w:val="none" w:sz="0" w:space="0" w:color="auto" w:frame="1"/>
          <w:vertAlign w:val="superscript"/>
          <w:lang w:eastAsia="nl-NL"/>
        </w:rPr>
        <w:t>1</w:t>
      </w:r>
      <w:r w:rsidRPr="00412D5B">
        <w:rPr>
          <w:rFonts w:ascii="Helvetica" w:eastAsia="Times New Roman" w:hAnsi="Helvetica" w:cs="Helvetica"/>
          <w:color w:val="000000"/>
          <w:sz w:val="24"/>
          <w:szCs w:val="24"/>
          <w:lang w:eastAsia="nl-NL"/>
        </w:rPr>
        <w:t>, Monique van Leerdam</w:t>
      </w:r>
      <w:r w:rsidRPr="00412D5B">
        <w:rPr>
          <w:rFonts w:ascii="inherit" w:eastAsia="Times New Roman" w:hAnsi="inherit" w:cs="Helvetica"/>
          <w:color w:val="000000"/>
          <w:sz w:val="20"/>
          <w:szCs w:val="20"/>
          <w:bdr w:val="none" w:sz="0" w:space="0" w:color="auto" w:frame="1"/>
          <w:vertAlign w:val="superscript"/>
          <w:lang w:eastAsia="nl-NL"/>
        </w:rPr>
        <w:t>2</w:t>
      </w:r>
      <w:r w:rsidRPr="00412D5B">
        <w:rPr>
          <w:rFonts w:ascii="Helvetica" w:eastAsia="Times New Roman" w:hAnsi="Helvetica" w:cs="Helvetica"/>
          <w:color w:val="000000"/>
          <w:sz w:val="24"/>
          <w:szCs w:val="24"/>
          <w:lang w:eastAsia="nl-NL"/>
        </w:rPr>
        <w:t>, Sanne ten Broeke</w:t>
      </w:r>
      <w:r w:rsidRPr="00412D5B">
        <w:rPr>
          <w:rFonts w:ascii="inherit" w:eastAsia="Times New Roman" w:hAnsi="inherit" w:cs="Helvetica"/>
          <w:color w:val="000000"/>
          <w:sz w:val="20"/>
          <w:szCs w:val="20"/>
          <w:bdr w:val="none" w:sz="0" w:space="0" w:color="auto" w:frame="1"/>
          <w:vertAlign w:val="superscript"/>
          <w:lang w:eastAsia="nl-NL"/>
        </w:rPr>
        <w:t>3</w:t>
      </w:r>
      <w:r w:rsidRPr="00412D5B">
        <w:rPr>
          <w:rFonts w:ascii="Helvetica" w:eastAsia="Times New Roman" w:hAnsi="Helvetica" w:cs="Helvetica"/>
          <w:color w:val="000000"/>
          <w:sz w:val="24"/>
          <w:szCs w:val="24"/>
          <w:lang w:eastAsia="nl-NL"/>
        </w:rPr>
        <w:t>, Evelien Dekker</w:t>
      </w:r>
      <w:r w:rsidRPr="00412D5B">
        <w:rPr>
          <w:rFonts w:ascii="inherit" w:eastAsia="Times New Roman" w:hAnsi="inherit" w:cs="Helvetica"/>
          <w:color w:val="000000"/>
          <w:sz w:val="20"/>
          <w:szCs w:val="20"/>
          <w:bdr w:val="none" w:sz="0" w:space="0" w:color="auto" w:frame="1"/>
          <w:vertAlign w:val="superscript"/>
          <w:lang w:eastAsia="nl-NL"/>
        </w:rPr>
        <w:t>4</w:t>
      </w:r>
      <w:r w:rsidRPr="00412D5B">
        <w:rPr>
          <w:rFonts w:ascii="Helvetica" w:eastAsia="Times New Roman" w:hAnsi="Helvetica" w:cs="Helvetica"/>
          <w:color w:val="000000"/>
          <w:sz w:val="24"/>
          <w:szCs w:val="24"/>
          <w:lang w:eastAsia="nl-NL"/>
        </w:rPr>
        <w:t>, Manon Spaanders</w:t>
      </w:r>
      <w:r w:rsidRPr="00412D5B">
        <w:rPr>
          <w:rFonts w:ascii="inherit" w:eastAsia="Times New Roman" w:hAnsi="inherit" w:cs="Helvetica"/>
          <w:color w:val="000000"/>
          <w:sz w:val="20"/>
          <w:szCs w:val="20"/>
          <w:bdr w:val="none" w:sz="0" w:space="0" w:color="auto" w:frame="1"/>
          <w:vertAlign w:val="superscript"/>
          <w:lang w:eastAsia="nl-NL"/>
        </w:rPr>
        <w:t>5</w:t>
      </w:r>
      <w:r w:rsidRPr="00412D5B">
        <w:rPr>
          <w:rFonts w:ascii="Helvetica" w:eastAsia="Times New Roman" w:hAnsi="Helvetica" w:cs="Helvetica"/>
          <w:color w:val="000000"/>
          <w:sz w:val="24"/>
          <w:szCs w:val="24"/>
          <w:lang w:eastAsia="nl-NL"/>
        </w:rPr>
        <w:t xml:space="preserve"> en </w:t>
      </w:r>
      <w:proofErr w:type="spellStart"/>
      <w:r w:rsidRPr="00412D5B">
        <w:rPr>
          <w:rFonts w:ascii="Helvetica" w:eastAsia="Times New Roman" w:hAnsi="Helvetica" w:cs="Helvetica"/>
          <w:color w:val="000000"/>
          <w:sz w:val="24"/>
          <w:szCs w:val="24"/>
          <w:lang w:eastAsia="nl-NL"/>
        </w:rPr>
        <w:t>Anja</w:t>
      </w:r>
      <w:proofErr w:type="spellEnd"/>
      <w:r w:rsidRPr="00412D5B">
        <w:rPr>
          <w:rFonts w:ascii="Helvetica" w:eastAsia="Times New Roman" w:hAnsi="Helvetica" w:cs="Helvetica"/>
          <w:color w:val="000000"/>
          <w:sz w:val="24"/>
          <w:szCs w:val="24"/>
          <w:lang w:eastAsia="nl-NL"/>
        </w:rPr>
        <w:t xml:space="preserve"> Wagner</w:t>
      </w:r>
      <w:r w:rsidRPr="00412D5B">
        <w:rPr>
          <w:rFonts w:ascii="inherit" w:eastAsia="Times New Roman" w:hAnsi="inherit" w:cs="Helvetica"/>
          <w:color w:val="000000"/>
          <w:sz w:val="20"/>
          <w:szCs w:val="20"/>
          <w:bdr w:val="none" w:sz="0" w:space="0" w:color="auto" w:frame="1"/>
          <w:vertAlign w:val="superscript"/>
          <w:lang w:eastAsia="nl-NL"/>
        </w:rPr>
        <w:t>6</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Affiliaties</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inherit" w:eastAsia="Times New Roman" w:hAnsi="inherit" w:cs="Helvetica"/>
          <w:color w:val="000000"/>
          <w:sz w:val="20"/>
          <w:szCs w:val="20"/>
          <w:bdr w:val="none" w:sz="0" w:space="0" w:color="auto" w:frame="1"/>
          <w:vertAlign w:val="superscript"/>
          <w:lang w:eastAsia="nl-NL"/>
        </w:rPr>
        <w:t>1</w:t>
      </w:r>
      <w:r w:rsidRPr="00412D5B">
        <w:rPr>
          <w:rFonts w:ascii="Helvetica" w:eastAsia="Times New Roman" w:hAnsi="Helvetica" w:cs="Helvetica"/>
          <w:color w:val="000000"/>
          <w:sz w:val="24"/>
          <w:szCs w:val="24"/>
          <w:lang w:eastAsia="nl-NL"/>
        </w:rPr>
        <w:t> Klinisch geneticus, LUMC; </w:t>
      </w:r>
      <w:r w:rsidRPr="00412D5B">
        <w:rPr>
          <w:rFonts w:ascii="inherit" w:eastAsia="Times New Roman" w:hAnsi="inherit" w:cs="Helvetica"/>
          <w:color w:val="000000"/>
          <w:sz w:val="20"/>
          <w:szCs w:val="20"/>
          <w:bdr w:val="none" w:sz="0" w:space="0" w:color="auto" w:frame="1"/>
          <w:vertAlign w:val="superscript"/>
          <w:lang w:eastAsia="nl-NL"/>
        </w:rPr>
        <w:t>2</w:t>
      </w:r>
      <w:r w:rsidRPr="00412D5B">
        <w:rPr>
          <w:rFonts w:ascii="Helvetica" w:eastAsia="Times New Roman" w:hAnsi="Helvetica" w:cs="Helvetica"/>
          <w:color w:val="000000"/>
          <w:sz w:val="24"/>
          <w:szCs w:val="24"/>
          <w:lang w:eastAsia="nl-NL"/>
        </w:rPr>
        <w:t> MDL-arts, LUMC en AvL</w:t>
      </w:r>
      <w:r w:rsidRPr="00412D5B">
        <w:rPr>
          <w:rFonts w:ascii="inherit" w:eastAsia="Times New Roman" w:hAnsi="inherit" w:cs="Helvetica"/>
          <w:color w:val="000000"/>
          <w:sz w:val="20"/>
          <w:szCs w:val="20"/>
          <w:bdr w:val="none" w:sz="0" w:space="0" w:color="auto" w:frame="1"/>
          <w:vertAlign w:val="superscript"/>
          <w:lang w:eastAsia="nl-NL"/>
        </w:rPr>
        <w:t>3</w:t>
      </w:r>
      <w:r w:rsidRPr="00412D5B">
        <w:rPr>
          <w:rFonts w:ascii="Helvetica" w:eastAsia="Times New Roman" w:hAnsi="Helvetica" w:cs="Helvetica"/>
          <w:color w:val="000000"/>
          <w:sz w:val="24"/>
          <w:szCs w:val="24"/>
          <w:lang w:eastAsia="nl-NL"/>
        </w:rPr>
        <w:t> arts in opleiding tot klinisch geneticus</w:t>
      </w:r>
      <w:r w:rsidRPr="00412D5B">
        <w:rPr>
          <w:rFonts w:ascii="inherit" w:eastAsia="Times New Roman" w:hAnsi="inherit" w:cs="Helvetica"/>
          <w:color w:val="000000"/>
          <w:sz w:val="20"/>
          <w:szCs w:val="20"/>
          <w:bdr w:val="none" w:sz="0" w:space="0" w:color="auto" w:frame="1"/>
          <w:vertAlign w:val="superscript"/>
          <w:lang w:eastAsia="nl-NL"/>
        </w:rPr>
        <w:t>4</w:t>
      </w:r>
      <w:r w:rsidRPr="00412D5B">
        <w:rPr>
          <w:rFonts w:ascii="Helvetica" w:eastAsia="Times New Roman" w:hAnsi="Helvetica" w:cs="Helvetica"/>
          <w:color w:val="000000"/>
          <w:sz w:val="24"/>
          <w:szCs w:val="24"/>
          <w:lang w:eastAsia="nl-NL"/>
        </w:rPr>
        <w:t> MDL-arts ; </w:t>
      </w:r>
      <w:r w:rsidRPr="00412D5B">
        <w:rPr>
          <w:rFonts w:ascii="inherit" w:eastAsia="Times New Roman" w:hAnsi="inherit" w:cs="Helvetica"/>
          <w:color w:val="000000"/>
          <w:sz w:val="20"/>
          <w:szCs w:val="20"/>
          <w:bdr w:val="none" w:sz="0" w:space="0" w:color="auto" w:frame="1"/>
          <w:vertAlign w:val="superscript"/>
          <w:lang w:eastAsia="nl-NL"/>
        </w:rPr>
        <w:t>5</w:t>
      </w:r>
      <w:r w:rsidRPr="00412D5B">
        <w:rPr>
          <w:rFonts w:ascii="Helvetica" w:eastAsia="Times New Roman" w:hAnsi="Helvetica" w:cs="Helvetica"/>
          <w:color w:val="000000"/>
          <w:sz w:val="24"/>
          <w:szCs w:val="24"/>
          <w:lang w:eastAsia="nl-NL"/>
        </w:rPr>
        <w:t xml:space="preserve"> MDL-arts, </w:t>
      </w:r>
      <w:proofErr w:type="spellStart"/>
      <w:r w:rsidRPr="00412D5B">
        <w:rPr>
          <w:rFonts w:ascii="Helvetica" w:eastAsia="Times New Roman" w:hAnsi="Helvetica" w:cs="Helvetica"/>
          <w:color w:val="000000"/>
          <w:sz w:val="24"/>
          <w:szCs w:val="24"/>
          <w:lang w:eastAsia="nl-NL"/>
        </w:rPr>
        <w:t>AmsterdamUMC</w:t>
      </w:r>
      <w:proofErr w:type="spellEnd"/>
      <w:r w:rsidRPr="00412D5B">
        <w:rPr>
          <w:rFonts w:ascii="Helvetica" w:eastAsia="Times New Roman" w:hAnsi="Helvetica" w:cs="Helvetica"/>
          <w:color w:val="000000"/>
          <w:sz w:val="24"/>
          <w:szCs w:val="24"/>
          <w:lang w:eastAsia="nl-NL"/>
        </w:rPr>
        <w:t>; </w:t>
      </w:r>
      <w:r w:rsidRPr="00412D5B">
        <w:rPr>
          <w:rFonts w:ascii="inherit" w:eastAsia="Times New Roman" w:hAnsi="inherit" w:cs="Helvetica"/>
          <w:color w:val="000000"/>
          <w:sz w:val="20"/>
          <w:szCs w:val="20"/>
          <w:bdr w:val="none" w:sz="0" w:space="0" w:color="auto" w:frame="1"/>
          <w:vertAlign w:val="superscript"/>
          <w:lang w:eastAsia="nl-NL"/>
        </w:rPr>
        <w:t>6</w:t>
      </w:r>
      <w:r w:rsidRPr="00412D5B">
        <w:rPr>
          <w:rFonts w:ascii="Helvetica" w:eastAsia="Times New Roman" w:hAnsi="Helvetica" w:cs="Helvetica"/>
          <w:color w:val="000000"/>
          <w:sz w:val="24"/>
          <w:szCs w:val="24"/>
          <w:lang w:eastAsia="nl-NL"/>
        </w:rPr>
        <w:t> Klinisch geneticus</w:t>
      </w:r>
    </w:p>
    <w:p w:rsidR="00412D5B" w:rsidRPr="00412D5B" w:rsidRDefault="00412D5B" w:rsidP="00412D5B">
      <w:pPr>
        <w:shd w:val="clear" w:color="auto" w:fill="FFFFFF"/>
        <w:spacing w:after="0" w:line="336" w:lineRule="atLeast"/>
        <w:jc w:val="both"/>
        <w:textAlignment w:val="baseline"/>
        <w:rPr>
          <w:rFonts w:ascii="Helvetica" w:eastAsia="Times New Roman" w:hAnsi="Helvetica" w:cs="Helvetica"/>
          <w:color w:val="000000"/>
          <w:sz w:val="24"/>
          <w:szCs w:val="24"/>
          <w:lang w:eastAsia="nl-NL"/>
        </w:rPr>
      </w:pPr>
      <w:r w:rsidRPr="00412D5B">
        <w:rPr>
          <w:rFonts w:ascii="inherit" w:eastAsia="Times New Roman" w:hAnsi="inherit" w:cs="Helvetica"/>
          <w:b/>
          <w:bCs/>
          <w:color w:val="1D4F91"/>
          <w:sz w:val="24"/>
          <w:szCs w:val="24"/>
          <w:bdr w:val="none" w:sz="0" w:space="0" w:color="auto" w:frame="1"/>
          <w:lang w:eastAsia="nl-NL"/>
        </w:rPr>
        <w:t>Referenties</w:t>
      </w:r>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Win AK, Jenkins MA, </w:t>
      </w:r>
      <w:proofErr w:type="spellStart"/>
      <w:r w:rsidRPr="00412D5B">
        <w:rPr>
          <w:rFonts w:ascii="Helvetica" w:eastAsia="Times New Roman" w:hAnsi="Helvetica" w:cs="Helvetica"/>
          <w:color w:val="000000"/>
          <w:sz w:val="24"/>
          <w:szCs w:val="24"/>
          <w:lang w:eastAsia="nl-NL"/>
        </w:rPr>
        <w:t>Dowty</w:t>
      </w:r>
      <w:proofErr w:type="spellEnd"/>
      <w:r w:rsidRPr="00412D5B">
        <w:rPr>
          <w:rFonts w:ascii="Helvetica" w:eastAsia="Times New Roman" w:hAnsi="Helvetica" w:cs="Helvetica"/>
          <w:color w:val="000000"/>
          <w:sz w:val="24"/>
          <w:szCs w:val="24"/>
          <w:lang w:eastAsia="nl-NL"/>
        </w:rPr>
        <w:t xml:space="preserve"> JG, et al.. </w:t>
      </w:r>
      <w:r w:rsidRPr="00412D5B">
        <w:rPr>
          <w:rFonts w:ascii="Helvetica" w:eastAsia="Times New Roman" w:hAnsi="Helvetica" w:cs="Helvetica"/>
          <w:color w:val="000000"/>
          <w:sz w:val="24"/>
          <w:szCs w:val="24"/>
          <w:lang w:val="en-GB" w:eastAsia="nl-NL"/>
        </w:rPr>
        <w:t xml:space="preserve">Prevalence and Penetrance of Major Genes and Polygenes for Colorectal Cancer. </w:t>
      </w:r>
      <w:r w:rsidRPr="00412D5B">
        <w:rPr>
          <w:rFonts w:ascii="Helvetica" w:eastAsia="Times New Roman" w:hAnsi="Helvetica" w:cs="Helvetica"/>
          <w:color w:val="000000"/>
          <w:sz w:val="24"/>
          <w:szCs w:val="24"/>
          <w:lang w:eastAsia="nl-NL"/>
        </w:rPr>
        <w:t xml:space="preserve">Cancer </w:t>
      </w:r>
      <w:proofErr w:type="spellStart"/>
      <w:r w:rsidRPr="00412D5B">
        <w:rPr>
          <w:rFonts w:ascii="Helvetica" w:eastAsia="Times New Roman" w:hAnsi="Helvetica" w:cs="Helvetica"/>
          <w:color w:val="000000"/>
          <w:sz w:val="24"/>
          <w:szCs w:val="24"/>
          <w:lang w:eastAsia="nl-NL"/>
        </w:rPr>
        <w:t>Epidemiol</w:t>
      </w:r>
      <w:proofErr w:type="spellEnd"/>
      <w:r w:rsidRPr="00412D5B">
        <w:rPr>
          <w:rFonts w:ascii="Helvetica" w:eastAsia="Times New Roman" w:hAnsi="Helvetica" w:cs="Helvetica"/>
          <w:color w:val="000000"/>
          <w:sz w:val="24"/>
          <w:szCs w:val="24"/>
          <w:lang w:eastAsia="nl-NL"/>
        </w:rPr>
        <w:t xml:space="preserve"> </w:t>
      </w:r>
      <w:proofErr w:type="spellStart"/>
      <w:r w:rsidRPr="00412D5B">
        <w:rPr>
          <w:rFonts w:ascii="Helvetica" w:eastAsia="Times New Roman" w:hAnsi="Helvetica" w:cs="Helvetica"/>
          <w:color w:val="000000"/>
          <w:sz w:val="24"/>
          <w:szCs w:val="24"/>
          <w:lang w:eastAsia="nl-NL"/>
        </w:rPr>
        <w:t>Biomarkers</w:t>
      </w:r>
      <w:proofErr w:type="spellEnd"/>
      <w:r w:rsidRPr="00412D5B">
        <w:rPr>
          <w:rFonts w:ascii="Helvetica" w:eastAsia="Times New Roman" w:hAnsi="Helvetica" w:cs="Helvetica"/>
          <w:color w:val="000000"/>
          <w:sz w:val="24"/>
          <w:szCs w:val="24"/>
          <w:lang w:eastAsia="nl-NL"/>
        </w:rPr>
        <w:t xml:space="preserve"> </w:t>
      </w:r>
      <w:proofErr w:type="spellStart"/>
      <w:r w:rsidRPr="00412D5B">
        <w:rPr>
          <w:rFonts w:ascii="Helvetica" w:eastAsia="Times New Roman" w:hAnsi="Helvetica" w:cs="Helvetica"/>
          <w:color w:val="000000"/>
          <w:sz w:val="24"/>
          <w:szCs w:val="24"/>
          <w:lang w:eastAsia="nl-NL"/>
        </w:rPr>
        <w:t>Prev</w:t>
      </w:r>
      <w:proofErr w:type="spellEnd"/>
      <w:r w:rsidRPr="00412D5B">
        <w:rPr>
          <w:rFonts w:ascii="Helvetica" w:eastAsia="Times New Roman" w:hAnsi="Helvetica" w:cs="Helvetica"/>
          <w:color w:val="000000"/>
          <w:sz w:val="24"/>
          <w:szCs w:val="24"/>
          <w:lang w:eastAsia="nl-NL"/>
        </w:rPr>
        <w:t>. 2017;26(3):404-412.</w:t>
      </w:r>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val="es-ES" w:eastAsia="nl-NL"/>
        </w:rPr>
        <w:t xml:space="preserve">Dominguez-Valentin M, et al. </w:t>
      </w:r>
      <w:r w:rsidRPr="00412D5B">
        <w:rPr>
          <w:rFonts w:ascii="Helvetica" w:eastAsia="Times New Roman" w:hAnsi="Helvetica" w:cs="Helvetica"/>
          <w:color w:val="000000"/>
          <w:sz w:val="24"/>
          <w:szCs w:val="24"/>
          <w:lang w:val="en-GB" w:eastAsia="nl-NL"/>
        </w:rPr>
        <w:t xml:space="preserve">Cancer risks by gene, age, and gender in 6350 carriers of pathogenic mismatch repair variants: findings from the Prospective Lynch Syndrome Database. </w:t>
      </w:r>
      <w:r w:rsidRPr="00412D5B">
        <w:rPr>
          <w:rFonts w:ascii="Helvetica" w:eastAsia="Times New Roman" w:hAnsi="Helvetica" w:cs="Helvetica"/>
          <w:color w:val="000000"/>
          <w:sz w:val="24"/>
          <w:szCs w:val="24"/>
          <w:lang w:eastAsia="nl-NL"/>
        </w:rPr>
        <w:t xml:space="preserve">Genet </w:t>
      </w:r>
      <w:proofErr w:type="spellStart"/>
      <w:r w:rsidRPr="00412D5B">
        <w:rPr>
          <w:rFonts w:ascii="Helvetica" w:eastAsia="Times New Roman" w:hAnsi="Helvetica" w:cs="Helvetica"/>
          <w:color w:val="000000"/>
          <w:sz w:val="24"/>
          <w:szCs w:val="24"/>
          <w:lang w:eastAsia="nl-NL"/>
        </w:rPr>
        <w:t>Med</w:t>
      </w:r>
      <w:proofErr w:type="spellEnd"/>
      <w:r w:rsidRPr="00412D5B">
        <w:rPr>
          <w:rFonts w:ascii="Helvetica" w:eastAsia="Times New Roman" w:hAnsi="Helvetica" w:cs="Helvetica"/>
          <w:color w:val="000000"/>
          <w:sz w:val="24"/>
          <w:szCs w:val="24"/>
          <w:lang w:eastAsia="nl-NL"/>
        </w:rPr>
        <w:t>. 2020 Jan;22(1):15-25.</w:t>
      </w:r>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Ten </w:t>
      </w:r>
      <w:proofErr w:type="spellStart"/>
      <w:r w:rsidRPr="00412D5B">
        <w:rPr>
          <w:rFonts w:ascii="Helvetica" w:eastAsia="Times New Roman" w:hAnsi="Helvetica" w:cs="Helvetica"/>
          <w:color w:val="000000"/>
          <w:sz w:val="24"/>
          <w:szCs w:val="24"/>
          <w:lang w:eastAsia="nl-NL"/>
        </w:rPr>
        <w:t>Broeke</w:t>
      </w:r>
      <w:proofErr w:type="spellEnd"/>
      <w:r w:rsidRPr="00412D5B">
        <w:rPr>
          <w:rFonts w:ascii="Helvetica" w:eastAsia="Times New Roman" w:hAnsi="Helvetica" w:cs="Helvetica"/>
          <w:color w:val="000000"/>
          <w:sz w:val="24"/>
          <w:szCs w:val="24"/>
          <w:lang w:eastAsia="nl-NL"/>
        </w:rPr>
        <w:t xml:space="preserve"> SW, van der </w:t>
      </w:r>
      <w:proofErr w:type="spellStart"/>
      <w:r w:rsidRPr="00412D5B">
        <w:rPr>
          <w:rFonts w:ascii="Helvetica" w:eastAsia="Times New Roman" w:hAnsi="Helvetica" w:cs="Helvetica"/>
          <w:color w:val="000000"/>
          <w:sz w:val="24"/>
          <w:szCs w:val="24"/>
          <w:lang w:eastAsia="nl-NL"/>
        </w:rPr>
        <w:t>Klift</w:t>
      </w:r>
      <w:proofErr w:type="spellEnd"/>
      <w:r w:rsidRPr="00412D5B">
        <w:rPr>
          <w:rFonts w:ascii="Helvetica" w:eastAsia="Times New Roman" w:hAnsi="Helvetica" w:cs="Helvetica"/>
          <w:color w:val="000000"/>
          <w:sz w:val="24"/>
          <w:szCs w:val="24"/>
          <w:lang w:eastAsia="nl-NL"/>
        </w:rPr>
        <w:t xml:space="preserve"> HM, Tops CMJ, et al. </w:t>
      </w:r>
      <w:r w:rsidRPr="00412D5B">
        <w:rPr>
          <w:rFonts w:ascii="Helvetica" w:eastAsia="Times New Roman" w:hAnsi="Helvetica" w:cs="Helvetica"/>
          <w:color w:val="000000"/>
          <w:sz w:val="24"/>
          <w:szCs w:val="24"/>
          <w:lang w:val="en-GB" w:eastAsia="nl-NL"/>
        </w:rPr>
        <w:t xml:space="preserve">Cancer risks for PMS2-associated Lynch syndrome. </w:t>
      </w:r>
      <w:r w:rsidRPr="00412D5B">
        <w:rPr>
          <w:rFonts w:ascii="Helvetica" w:eastAsia="Times New Roman" w:hAnsi="Helvetica" w:cs="Helvetica"/>
          <w:color w:val="000000"/>
          <w:sz w:val="24"/>
          <w:szCs w:val="24"/>
          <w:lang w:eastAsia="nl-NL"/>
        </w:rPr>
        <w:t xml:space="preserve">J </w:t>
      </w:r>
      <w:proofErr w:type="spellStart"/>
      <w:r w:rsidRPr="00412D5B">
        <w:rPr>
          <w:rFonts w:ascii="Helvetica" w:eastAsia="Times New Roman" w:hAnsi="Helvetica" w:cs="Helvetica"/>
          <w:color w:val="000000"/>
          <w:sz w:val="24"/>
          <w:szCs w:val="24"/>
          <w:lang w:eastAsia="nl-NL"/>
        </w:rPr>
        <w:t>Clin</w:t>
      </w:r>
      <w:proofErr w:type="spellEnd"/>
      <w:r w:rsidRPr="00412D5B">
        <w:rPr>
          <w:rFonts w:ascii="Helvetica" w:eastAsia="Times New Roman" w:hAnsi="Helvetica" w:cs="Helvetica"/>
          <w:color w:val="000000"/>
          <w:sz w:val="24"/>
          <w:szCs w:val="24"/>
          <w:lang w:eastAsia="nl-NL"/>
        </w:rPr>
        <w:t xml:space="preserve"> </w:t>
      </w:r>
      <w:proofErr w:type="spellStart"/>
      <w:r w:rsidRPr="00412D5B">
        <w:rPr>
          <w:rFonts w:ascii="Helvetica" w:eastAsia="Times New Roman" w:hAnsi="Helvetica" w:cs="Helvetica"/>
          <w:color w:val="000000"/>
          <w:sz w:val="24"/>
          <w:szCs w:val="24"/>
          <w:lang w:eastAsia="nl-NL"/>
        </w:rPr>
        <w:t>Oncol</w:t>
      </w:r>
      <w:proofErr w:type="spellEnd"/>
      <w:r w:rsidRPr="00412D5B">
        <w:rPr>
          <w:rFonts w:ascii="Helvetica" w:eastAsia="Times New Roman" w:hAnsi="Helvetica" w:cs="Helvetica"/>
          <w:color w:val="000000"/>
          <w:sz w:val="24"/>
          <w:szCs w:val="24"/>
          <w:lang w:eastAsia="nl-NL"/>
        </w:rPr>
        <w:t xml:space="preserve"> 2018;36:2961–8.</w:t>
      </w:r>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proofErr w:type="spellStart"/>
      <w:r w:rsidRPr="00412D5B">
        <w:rPr>
          <w:rFonts w:ascii="Helvetica" w:eastAsia="Times New Roman" w:hAnsi="Helvetica" w:cs="Helvetica"/>
          <w:color w:val="000000"/>
          <w:sz w:val="24"/>
          <w:szCs w:val="24"/>
          <w:lang w:val="en-GB" w:eastAsia="nl-NL"/>
        </w:rPr>
        <w:t>Leerdam</w:t>
      </w:r>
      <w:proofErr w:type="spellEnd"/>
      <w:r w:rsidRPr="00412D5B">
        <w:rPr>
          <w:rFonts w:ascii="Helvetica" w:eastAsia="Times New Roman" w:hAnsi="Helvetica" w:cs="Helvetica"/>
          <w:color w:val="000000"/>
          <w:sz w:val="24"/>
          <w:szCs w:val="24"/>
          <w:lang w:val="en-GB" w:eastAsia="nl-NL"/>
        </w:rPr>
        <w:t xml:space="preserve"> et al, Endoscopic management of Lynch syndrome and of familial risk of colorectal cancer: Society of Gastrointestinal Endoscopy (ESGE) Guideline. </w:t>
      </w:r>
      <w:proofErr w:type="spellStart"/>
      <w:r w:rsidRPr="00412D5B">
        <w:rPr>
          <w:rFonts w:ascii="Helvetica" w:eastAsia="Times New Roman" w:hAnsi="Helvetica" w:cs="Helvetica"/>
          <w:color w:val="000000"/>
          <w:sz w:val="24"/>
          <w:szCs w:val="24"/>
          <w:lang w:eastAsia="nl-NL"/>
        </w:rPr>
        <w:t>Endoscopy</w:t>
      </w:r>
      <w:proofErr w:type="spellEnd"/>
      <w:r w:rsidRPr="00412D5B">
        <w:rPr>
          <w:rFonts w:ascii="Helvetica" w:eastAsia="Times New Roman" w:hAnsi="Helvetica" w:cs="Helvetica"/>
          <w:color w:val="000000"/>
          <w:sz w:val="24"/>
          <w:szCs w:val="24"/>
          <w:lang w:eastAsia="nl-NL"/>
        </w:rPr>
        <w:t xml:space="preserve"> 2019; 51: 1082–1093, </w:t>
      </w:r>
      <w:hyperlink r:id="rId5" w:history="1">
        <w:r w:rsidRPr="00412D5B">
          <w:rPr>
            <w:rFonts w:ascii="Helvetica" w:eastAsia="Times New Roman" w:hAnsi="Helvetica" w:cs="Helvetica"/>
            <w:color w:val="1D4F91"/>
            <w:sz w:val="24"/>
            <w:szCs w:val="24"/>
            <w:bdr w:val="none" w:sz="0" w:space="0" w:color="auto" w:frame="1"/>
            <w:lang w:eastAsia="nl-NL"/>
          </w:rPr>
          <w:t>https://doi.org/10.1055/a-1016-4977</w:t>
        </w:r>
      </w:hyperlink>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val="en-GB" w:eastAsia="nl-NL"/>
        </w:rPr>
        <w:t xml:space="preserve">Monahan KJ, et al. Guidelines for the management of hereditary colorectal cancer from the British Society of Gastroenterology (BSG)/Association of </w:t>
      </w:r>
      <w:proofErr w:type="spellStart"/>
      <w:r w:rsidRPr="00412D5B">
        <w:rPr>
          <w:rFonts w:ascii="Helvetica" w:eastAsia="Times New Roman" w:hAnsi="Helvetica" w:cs="Helvetica"/>
          <w:color w:val="000000"/>
          <w:sz w:val="24"/>
          <w:szCs w:val="24"/>
          <w:lang w:val="en-GB" w:eastAsia="nl-NL"/>
        </w:rPr>
        <w:t>Coloproctology</w:t>
      </w:r>
      <w:proofErr w:type="spellEnd"/>
      <w:r w:rsidRPr="00412D5B">
        <w:rPr>
          <w:rFonts w:ascii="Helvetica" w:eastAsia="Times New Roman" w:hAnsi="Helvetica" w:cs="Helvetica"/>
          <w:color w:val="000000"/>
          <w:sz w:val="24"/>
          <w:szCs w:val="24"/>
          <w:lang w:val="en-GB" w:eastAsia="nl-NL"/>
        </w:rPr>
        <w:t xml:space="preserve"> of Great Britain and Ireland (ACPGBI)/ United Kingdom Cancer Genetics Group (UKCGG). </w:t>
      </w:r>
      <w:r w:rsidRPr="00412D5B">
        <w:rPr>
          <w:rFonts w:ascii="Helvetica" w:eastAsia="Times New Roman" w:hAnsi="Helvetica" w:cs="Helvetica"/>
          <w:color w:val="000000"/>
          <w:sz w:val="24"/>
          <w:szCs w:val="24"/>
          <w:lang w:eastAsia="nl-NL"/>
        </w:rPr>
        <w:t>Gut 2020;69:411–444. doi:10.1136/gutjnl-2019-319915</w:t>
      </w:r>
    </w:p>
    <w:p w:rsidR="00412D5B" w:rsidRPr="00412D5B" w:rsidRDefault="00412D5B" w:rsidP="00412D5B">
      <w:pPr>
        <w:numPr>
          <w:ilvl w:val="0"/>
          <w:numId w:val="1"/>
        </w:numPr>
        <w:shd w:val="clear" w:color="auto" w:fill="FFFFFF"/>
        <w:spacing w:after="0" w:line="240" w:lineRule="auto"/>
        <w:ind w:left="345" w:firstLine="0"/>
        <w:jc w:val="both"/>
        <w:textAlignment w:val="baseline"/>
        <w:rPr>
          <w:rFonts w:ascii="Helvetica" w:eastAsia="Times New Roman" w:hAnsi="Helvetica" w:cs="Helvetica"/>
          <w:color w:val="000000"/>
          <w:sz w:val="24"/>
          <w:szCs w:val="24"/>
          <w:lang w:eastAsia="nl-NL"/>
        </w:rPr>
      </w:pPr>
      <w:r w:rsidRPr="00412D5B">
        <w:rPr>
          <w:rFonts w:ascii="Helvetica" w:eastAsia="Times New Roman" w:hAnsi="Helvetica" w:cs="Helvetica"/>
          <w:color w:val="000000"/>
          <w:sz w:val="24"/>
          <w:szCs w:val="24"/>
          <w:lang w:eastAsia="nl-NL"/>
        </w:rPr>
        <w:t xml:space="preserve"> T. T. </w:t>
      </w:r>
      <w:proofErr w:type="spellStart"/>
      <w:r w:rsidRPr="00412D5B">
        <w:rPr>
          <w:rFonts w:ascii="Helvetica" w:eastAsia="Times New Roman" w:hAnsi="Helvetica" w:cs="Helvetica"/>
          <w:color w:val="000000"/>
          <w:sz w:val="24"/>
          <w:szCs w:val="24"/>
          <w:lang w:eastAsia="nl-NL"/>
        </w:rPr>
        <w:t>Seppälä</w:t>
      </w:r>
      <w:proofErr w:type="spellEnd"/>
      <w:r w:rsidRPr="00412D5B">
        <w:rPr>
          <w:rFonts w:ascii="Helvetica" w:eastAsia="Times New Roman" w:hAnsi="Helvetica" w:cs="Helvetica"/>
          <w:color w:val="000000"/>
          <w:sz w:val="24"/>
          <w:szCs w:val="24"/>
          <w:lang w:eastAsia="nl-NL"/>
        </w:rPr>
        <w:t xml:space="preserve"> et al. </w:t>
      </w:r>
      <w:r w:rsidRPr="00412D5B">
        <w:rPr>
          <w:rFonts w:ascii="Helvetica" w:eastAsia="Times New Roman" w:hAnsi="Helvetica" w:cs="Helvetica"/>
          <w:color w:val="000000"/>
          <w:sz w:val="24"/>
          <w:szCs w:val="24"/>
          <w:lang w:val="en-GB" w:eastAsia="nl-NL"/>
        </w:rPr>
        <w:t xml:space="preserve">European guidelines from the EHTG and ESCP for Lynch syndrome: an updated third edition of the Mallorca guidelines based on gene and gender. </w:t>
      </w:r>
      <w:r w:rsidRPr="00412D5B">
        <w:rPr>
          <w:rFonts w:ascii="Helvetica" w:eastAsia="Times New Roman" w:hAnsi="Helvetica" w:cs="Helvetica"/>
          <w:color w:val="000000"/>
          <w:sz w:val="24"/>
          <w:szCs w:val="24"/>
          <w:lang w:eastAsia="nl-NL"/>
        </w:rPr>
        <w:t xml:space="preserve">Br J </w:t>
      </w:r>
      <w:proofErr w:type="spellStart"/>
      <w:r w:rsidRPr="00412D5B">
        <w:rPr>
          <w:rFonts w:ascii="Helvetica" w:eastAsia="Times New Roman" w:hAnsi="Helvetica" w:cs="Helvetica"/>
          <w:color w:val="000000"/>
          <w:sz w:val="24"/>
          <w:szCs w:val="24"/>
          <w:lang w:eastAsia="nl-NL"/>
        </w:rPr>
        <w:t>Surg</w:t>
      </w:r>
      <w:proofErr w:type="spellEnd"/>
      <w:r w:rsidRPr="00412D5B">
        <w:rPr>
          <w:rFonts w:ascii="Helvetica" w:eastAsia="Times New Roman" w:hAnsi="Helvetica" w:cs="Helvetica"/>
          <w:color w:val="000000"/>
          <w:sz w:val="24"/>
          <w:szCs w:val="24"/>
          <w:lang w:eastAsia="nl-NL"/>
        </w:rPr>
        <w:t>; 2021 May 27;108(5):484-498.</w:t>
      </w:r>
    </w:p>
    <w:p w:rsidR="007876FD" w:rsidRDefault="007876FD"/>
    <w:sectPr w:rsidR="00787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6A757A"/>
    <w:multiLevelType w:val="multilevel"/>
    <w:tmpl w:val="319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5B"/>
    <w:rsid w:val="00412D5B"/>
    <w:rsid w:val="006D4D6A"/>
    <w:rsid w:val="007876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DAF0E-202F-4905-8710-EFCAAF1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2D5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12D5B"/>
    <w:rPr>
      <w:b/>
      <w:bCs/>
    </w:rPr>
  </w:style>
  <w:style w:type="character" w:styleId="Nadruk">
    <w:name w:val="Emphasis"/>
    <w:basedOn w:val="Standaardalinea-lettertype"/>
    <w:uiPriority w:val="20"/>
    <w:qFormat/>
    <w:rsid w:val="00412D5B"/>
    <w:rPr>
      <w:i/>
      <w:iCs/>
    </w:rPr>
  </w:style>
  <w:style w:type="character" w:styleId="Hyperlink">
    <w:name w:val="Hyperlink"/>
    <w:basedOn w:val="Standaardalinea-lettertype"/>
    <w:uiPriority w:val="99"/>
    <w:semiHidden/>
    <w:unhideWhenUsed/>
    <w:rsid w:val="00412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55/a-1016-4977"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van IJsseldijk</dc:creator>
  <cp:keywords/>
  <dc:description/>
  <cp:lastModifiedBy>G van IJsseldijk</cp:lastModifiedBy>
  <cp:revision>2</cp:revision>
  <dcterms:created xsi:type="dcterms:W3CDTF">2025-08-25T15:40:00Z</dcterms:created>
  <dcterms:modified xsi:type="dcterms:W3CDTF">2025-08-25T15:44:00Z</dcterms:modified>
</cp:coreProperties>
</file>